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r>
        <w:drawing>
          <wp:inline xmlns:a="http://schemas.openxmlformats.org/drawingml/2006/main" xmlns:pic="http://schemas.openxmlformats.org/drawingml/2006/picture">
            <wp:extent cx="2240280" cy="666361"/>
            <wp:docPr id="1" name="Picture 1"/>
            <wp:cNvGraphicFramePr>
              <a:graphicFrameLocks noChangeAspect="1"/>
            </wp:cNvGraphicFramePr>
            <a:graphic>
              <a:graphicData uri="http://schemas.openxmlformats.org/drawingml/2006/picture">
                <pic:pic>
                  <pic:nvPicPr>
                    <pic:cNvPr id="0" name="firm-logo.png"/>
                    <pic:cNvPicPr/>
                  </pic:nvPicPr>
                  <pic:blipFill>
                    <a:blip r:embed="rId11"/>
                    <a:stretch>
                      <a:fillRect/>
                    </a:stretch>
                  </pic:blipFill>
                  <pic:spPr>
                    <a:xfrm>
                      <a:off x="0" y="0"/>
                      <a:ext cx="2240280" cy="666361"/>
                    </a:xfrm>
                    <a:prstGeom prst="rect"/>
                  </pic:spPr>
                </pic:pic>
              </a:graphicData>
            </a:graphic>
          </wp:inline>
        </w:drawing>
      </w:r>
    </w:p>
    <w:p>
      <w:pPr>
        <w:spacing w:after="100"/>
      </w:pPr>
      <w:r>
        <w:rPr>
          <w:rFonts w:ascii="Calibri" w:hAnsi="Calibri"/>
          <w:b/>
          <w:color w:val="C58B34"/>
          <w:sz w:val="17"/>
        </w:rPr>
        <w:t>BUSINESS DOCUMENT STUDIO  ·  FREE WORKING RESOURCE</w:t>
      </w:r>
    </w:p>
    <w:p>
      <w:pPr>
        <w:pStyle w:val="Title"/>
      </w:pPr>
      <w:r>
        <w:t>Shareholders' Agreement Terms Questionnaire</w:t>
      </w:r>
    </w:p>
    <w:p>
      <w:pPr>
        <w:pStyle w:val="Subtitle"/>
      </w:pPr>
      <w:r>
        <w:t>An offline founder and investor intake tool for a tailored Kenyan shareholders' agreement.</w:t>
      </w:r>
    </w:p>
    <w:tbl>
      <w:tblPr>
        <w:tblW w:type="dxa" w:w="9360"/>
        <w:jc w:val="left"/>
        <w:tblLayout w:type="fixed"/>
        <w:tblLook w:firstColumn="1" w:firstRow="1" w:lastColumn="0" w:lastRow="0" w:noHBand="0" w:noVBand="1" w:val="04A0"/>
        <w:tblInd w:type="dxa" w:w="120"/>
      </w:tblPr>
      <w:tblGrid>
        <w:gridCol w:w="1550"/>
        <w:gridCol w:w="2450"/>
        <w:gridCol w:w="1550"/>
        <w:gridCol w:w="3810"/>
      </w:tblGrid>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JURISDICTION</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Kenya</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LAST REVIEWED</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31 July 2026</w:t>
            </w:r>
          </w:p>
        </w:tc>
      </w:tr>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FORMAT</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Editable Word document</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RESOURCE</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DS–SHA–01</w:t>
            </w:r>
          </w:p>
        </w:tc>
      </w:tr>
    </w:tbl>
    <w:tbl>
      <w:tblPr>
        <w:tblW w:type="dxa" w:w="9360"/>
        <w:jc w:val="left"/>
        <w:tblLayout w:type="fixed"/>
        <w:tblLook w:firstColumn="1" w:firstRow="1" w:lastColumn="0" w:lastRow="0" w:noHBand="0" w:noVBand="1" w:val="04A0"/>
        <w:tblInd w:type="dxa" w:w="120"/>
      </w:tblPr>
      <w:tblGrid>
        <w:gridCol w:w="9360"/>
      </w:tblGrid>
      <w:tr>
        <w:trPr/>
        <w:tc>
          <w:tcPr>
            <w:tcW w:type="dxa" w:w="9360"/>
            <w:shd w:fill="F7F1E6"/>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40" w:after="40"/>
            </w:pPr>
            <w:r>
              <w:rPr>
                <w:rFonts w:ascii="Calibri" w:hAnsi="Calibri"/>
                <w:b/>
                <w:color w:val="2D073A"/>
                <w:sz w:val="19"/>
              </w:rPr>
              <w:t xml:space="preserve">Use offline; do not upload confidential information. </w:t>
            </w:r>
            <w:r>
              <w:rPr>
                <w:rFonts w:ascii="Calibri" w:hAnsi="Calibri"/>
                <w:color w:val="251F28"/>
                <w:sz w:val="19"/>
              </w:rPr>
              <w:t>This resource is designed to be downloaded and completed within your own controlled environment. The firm does not receive, store or review your entries unless you separately instruct it to do so after conflicts and engagement checks.</w:t>
            </w:r>
          </w:p>
        </w:tc>
      </w:tr>
    </w:tbl>
    <w:p>
      <w:pPr>
        <w:spacing w:after="40"/>
      </w:pPr>
    </w:p>
    <w:p>
      <w:pPr>
        <w:pStyle w:val="Heading1"/>
      </w:pPr>
      <w:r>
        <w:t>What this questionnaire does</w:t>
      </w:r>
    </w:p>
    <w:p>
      <w:r>
        <w:t>Use this worksheet to surface commercial choices before drafting or reviewing a shareholders' agreement. It is not an agreement, term sheet or substitute for company, tax, employment, competition, intellectual-property or regulatory advice. Do not sign it as a legal instrument.</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7F1E6"/>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40" w:after="40"/>
            </w:pPr>
            <w:r>
              <w:rPr>
                <w:rFonts w:ascii="Calibri" w:hAnsi="Calibri"/>
                <w:b/>
                <w:color w:val="2D073A"/>
                <w:sz w:val="19"/>
              </w:rPr>
              <w:t xml:space="preserve">Complete separately before the joint meeting. </w:t>
            </w:r>
            <w:r>
              <w:rPr>
                <w:rFonts w:ascii="Calibri" w:hAnsi="Calibri"/>
                <w:color w:val="251F28"/>
                <w:sz w:val="19"/>
              </w:rPr>
              <w:t>Where practical, each founder or investor should first record their own position. Differences are easier to identify before they become drafting disputes.</w:t>
            </w:r>
          </w:p>
        </w:tc>
      </w:tr>
    </w:tbl>
    <w:p>
      <w:pPr>
        <w:spacing w:after="40"/>
      </w:pPr>
    </w:p>
    <w:p>
      <w:pPr>
        <w:pStyle w:val="Heading1"/>
      </w:pPr>
      <w:r>
        <w:t>1. Company, transaction and objectives</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1.1  Company name, registration number and jurisdiction</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1.2  Current business, regulatory status and near-term plan</w:t>
            </w:r>
            <w:r>
              <w:rPr>
                <w:rFonts w:ascii="Calibri" w:hAnsi="Calibri"/>
                <w:i/>
                <w:color w:val="6F696F"/>
                <w:sz w:val="17"/>
              </w:rPr>
              <w:br/>
              <w:t>Include regulated activities, licences, key products and target markets.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1.3  Why is an agreement needed now?</w:t>
            </w:r>
            <w:r>
              <w:rPr>
                <w:rFonts w:ascii="Calibri" w:hAnsi="Calibri"/>
                <w:i/>
                <w:color w:val="6F696F"/>
                <w:sz w:val="17"/>
              </w:rPr>
              <w:br/>
              <w:t>New company / founder alignment / investment / restructuring / dispute prevention / other.</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1.4  What outcomes matter most to each party?</w:t>
            </w:r>
            <w:r>
              <w:rPr>
                <w:rFonts w:ascii="Calibri" w:hAnsi="Calibri"/>
                <w:i/>
                <w:color w:val="6F696F"/>
                <w:sz w:val="17"/>
              </w:rPr>
              <w:br/>
              <w:t>Rank control, speed, funding, economics, role protection, exit and other priorities.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p>
      <w:pPr>
        <w:pStyle w:val="Heading1"/>
      </w:pPr>
      <w:r>
        <w:t>2. Ownership, capital and funding</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2.1  Current issued shares and percentage ownership</w:t>
            </w:r>
            <w:r>
              <w:rPr>
                <w:rFonts w:ascii="Calibri" w:hAnsi="Calibri"/>
                <w:i/>
                <w:color w:val="6F696F"/>
                <w:sz w:val="17"/>
              </w:rPr>
              <w:br/>
              <w:t>Attach or reference the current cap table and official records.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2.2  Options, convertibles, SAFEs, loans or promised equity</w:t>
            </w:r>
            <w:r>
              <w:rPr>
                <w:rFonts w:ascii="Calibri" w:hAnsi="Calibri"/>
                <w:i/>
                <w:color w:val="6F696F"/>
                <w:sz w:val="17"/>
              </w:rPr>
              <w:br/>
              <w:t>Record instruments, conditions and unresolved commitments.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2.3  Initial and expected future contributions</w:t>
            </w:r>
            <w:r>
              <w:rPr>
                <w:rFonts w:ascii="Calibri" w:hAnsi="Calibri"/>
                <w:i/>
                <w:color w:val="6F696F"/>
                <w:sz w:val="17"/>
              </w:rPr>
              <w:br/>
              <w:t>Cash, assets, IP, services, guarantees, networks or other value.</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2.4  How should future funding be approved and allocated?</w:t>
            </w:r>
            <w:r>
              <w:rPr>
                <w:rFonts w:ascii="Calibri" w:hAnsi="Calibri"/>
                <w:i/>
                <w:color w:val="6F696F"/>
                <w:sz w:val="17"/>
              </w:rPr>
              <w:br/>
              <w:t>Consider pro rata rights, dilution, shareholder loans and third-party capital.</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2.5  Should any share class carry different economic or voting rights?</w:t>
            </w:r>
            <w:r>
              <w:rPr>
                <w:rFonts w:ascii="Calibri" w:hAnsi="Calibri"/>
                <w:i/>
                <w:color w:val="6F696F"/>
                <w:sz w:val="17"/>
              </w:rPr>
              <w:br/>
              <w:t>Explain the commercial reason and intended duration.</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p>
      <w:pPr>
        <w:pStyle w:val="Heading1"/>
      </w:pPr>
      <w:r>
        <w:t>3. Founder roles, commitment and leavers</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3.1  Each founder's operational role, time commitment and decision authority</w:t>
            </w:r>
            <w:r>
              <w:rPr>
                <w:rFonts w:ascii="Calibri" w:hAnsi="Calibri"/>
                <w:i/>
                <w:color w:val="6F696F"/>
                <w:sz w:val="17"/>
              </w:rPr>
              <w:br/>
              <w:t>Align with employment/consultancy terms and actual working arrangements.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3.2  Compensation, expenses and review arrangements</w:t>
            </w:r>
            <w:r>
              <w:rPr>
                <w:rFonts w:ascii="Calibri" w:hAnsi="Calibri"/>
                <w:i/>
                <w:color w:val="6F696F"/>
                <w:sz w:val="17"/>
              </w:rPr>
              <w:br/>
              <w:t>Separate salary/fees from shareholder returns.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3.3  Vesting, milestones or reverse-vesting position</w:t>
            </w:r>
            <w:r>
              <w:rPr>
                <w:rFonts w:ascii="Calibri" w:hAnsi="Calibri"/>
                <w:i/>
                <w:color w:val="6F696F"/>
                <w:sz w:val="17"/>
              </w:rPr>
              <w:br/>
              <w:t>Record start date, credit for past service, acceleration and exceptions.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3.4  Good-leaver and bad-leaver events</w:t>
            </w:r>
            <w:r>
              <w:rPr>
                <w:rFonts w:ascii="Calibri" w:hAnsi="Calibri"/>
                <w:i/>
                <w:color w:val="6F696F"/>
                <w:sz w:val="17"/>
              </w:rPr>
              <w:br/>
              <w:t>Identify death, disability, resignation, termination, breach and misconduct outcomes.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3.5  How should departing founder shares be valued and paid for?</w:t>
            </w:r>
            <w:r>
              <w:rPr>
                <w:rFonts w:ascii="Calibri" w:hAnsi="Calibri"/>
                <w:i/>
                <w:color w:val="6F696F"/>
                <w:sz w:val="17"/>
              </w:rPr>
              <w:br/>
              <w:t>Consider formula, independent valuation, discount, timing and instalments.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p>
      <w:pPr>
        <w:pStyle w:val="Heading1"/>
      </w:pPr>
      <w:r>
        <w:t>4. Board, management and reserved matters</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4.1  Board size, appointment rights, chair and observer rights</w:t>
            </w:r>
            <w:r>
              <w:rPr>
                <w:rFonts w:ascii="Calibri" w:hAnsi="Calibri"/>
                <w:i/>
                <w:color w:val="6F696F"/>
                <w:sz w:val="17"/>
              </w:rPr>
              <w:br/>
              <w:t>Address vacancies, removal and alternates.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4.2  Quorum and voting thresholds</w:t>
            </w:r>
            <w:r>
              <w:rPr>
                <w:rFonts w:ascii="Calibri" w:hAnsi="Calibri"/>
                <w:i/>
                <w:color w:val="6F696F"/>
                <w:sz w:val="17"/>
              </w:rPr>
              <w:br/>
              <w:t>Consider absence, conflicts and repeated failure to attend.</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4.3  Which decisions require shareholder or special approval?</w:t>
            </w:r>
            <w:r>
              <w:rPr>
                <w:rFonts w:ascii="Calibri" w:hAnsi="Calibri"/>
                <w:i/>
                <w:color w:val="6F696F"/>
                <w:sz w:val="17"/>
              </w:rPr>
              <w:br/>
              <w:t>Examples: budget, fundraising, debt, acquisitions, material contracts, new markets, executive hires and related-party matters.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4.4  What information and reporting should shareholders receive?</w:t>
            </w:r>
            <w:r>
              <w:rPr>
                <w:rFonts w:ascii="Calibri" w:hAnsi="Calibri"/>
                <w:i/>
                <w:color w:val="6F696F"/>
                <w:sz w:val="17"/>
              </w:rPr>
              <w:br/>
              <w:t>Management accounts, budgets, compliance, cash, KPIs and inspection rights.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4.5  How should conflicts of interest and related-party transactions be managed?</w:t>
            </w:r>
            <w:r>
              <w:rPr>
                <w:rFonts w:ascii="Calibri" w:hAnsi="Calibri"/>
                <w:i/>
                <w:color w:val="6F696F"/>
                <w:sz w:val="17"/>
              </w:rPr>
              <w:br/>
              <w:t>Record disclosure, abstention, independent approval and evidence.</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p>
      <w:pPr>
        <w:pStyle w:val="Heading1"/>
      </w:pPr>
      <w:r>
        <w:t>5. Share issues, dilution and transfers</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5.1  Pre-emption rights on new shares and exceptions</w:t>
            </w:r>
            <w:r>
              <w:rPr>
                <w:rFonts w:ascii="Calibri" w:hAnsi="Calibri"/>
                <w:i/>
                <w:color w:val="6F696F"/>
                <w:sz w:val="17"/>
              </w:rPr>
              <w:br/>
              <w:t>Consider employee plans, strategic investors and approved acquisitions.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5.2  Restrictions on transferring, charging or otherwise dealing with shares</w:t>
            </w:r>
            <w:r>
              <w:rPr>
                <w:rFonts w:ascii="Calibri" w:hAnsi="Calibri"/>
                <w:i/>
                <w:color w:val="6F696F"/>
                <w:sz w:val="17"/>
              </w:rPr>
              <w:br/>
              <w:t>Include permitted transfers and transferee adherence.</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5.3  Right of first offer / refusal or other internal transfer process</w:t>
            </w:r>
            <w:r>
              <w:rPr>
                <w:rFonts w:ascii="Calibri" w:hAnsi="Calibri"/>
                <w:i/>
                <w:color w:val="6F696F"/>
                <w:sz w:val="17"/>
              </w:rPr>
              <w:br/>
              <w:t>Set notice, price, timing and completion mechanics.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5.4  Tag-along protection</w:t>
            </w:r>
            <w:r>
              <w:rPr>
                <w:rFonts w:ascii="Calibri" w:hAnsi="Calibri"/>
                <w:i/>
                <w:color w:val="6F696F"/>
                <w:sz w:val="17"/>
              </w:rPr>
              <w:br/>
              <w:t>Identify threshold, beneficiaries, price and terms parity.</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5.5  Drag-along mechanism</w:t>
            </w:r>
            <w:r>
              <w:rPr>
                <w:rFonts w:ascii="Calibri" w:hAnsi="Calibri"/>
                <w:i/>
                <w:color w:val="6F696F"/>
                <w:sz w:val="17"/>
              </w:rPr>
              <w:br/>
              <w:t>Identify threshold, buyer terms, warranties, costs and minority protection.</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p>
      <w:pPr>
        <w:pStyle w:val="Heading1"/>
      </w:pPr>
      <w:r>
        <w:t>6. Economics, IP and restrictive protections</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6.1  Dividend or distribution policy</w:t>
            </w:r>
            <w:r>
              <w:rPr>
                <w:rFonts w:ascii="Calibri" w:hAnsi="Calibri"/>
                <w:i/>
                <w:color w:val="6F696F"/>
                <w:sz w:val="17"/>
              </w:rPr>
              <w:br/>
              <w:t>Balance reinvestment, reserves, debt and shareholder expectations.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6.2  Ownership and assignment of existing and future intellectual property</w:t>
            </w:r>
            <w:r>
              <w:rPr>
                <w:rFonts w:ascii="Calibri" w:hAnsi="Calibri"/>
                <w:i/>
                <w:color w:val="6F696F"/>
                <w:sz w:val="17"/>
              </w:rPr>
              <w:br/>
              <w:t>Identify code, brands, data, domains, inventions, content and licences.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6.3  Confidentiality and permitted disclosures</w:t>
            </w:r>
            <w:r>
              <w:rPr>
                <w:rFonts w:ascii="Calibri" w:hAnsi="Calibri"/>
                <w:i/>
                <w:color w:val="6F696F"/>
                <w:sz w:val="17"/>
              </w:rPr>
              <w:br/>
              <w:t>Coordinate with employment, vendor and investor documents.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6.4  Non-compete, non-solicit or non-dealing concerns</w:t>
            </w:r>
            <w:r>
              <w:rPr>
                <w:rFonts w:ascii="Calibri" w:hAnsi="Calibri"/>
                <w:i/>
                <w:color w:val="6F696F"/>
                <w:sz w:val="17"/>
              </w:rPr>
              <w:br/>
              <w:t>Record the legitimate business interests and practical scope; enforceability requires tailored review.</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6.5  Founder side projects, opportunities and conflicts</w:t>
            </w:r>
            <w:r>
              <w:rPr>
                <w:rFonts w:ascii="Calibri" w:hAnsi="Calibri"/>
                <w:i/>
                <w:color w:val="6F696F"/>
                <w:sz w:val="17"/>
              </w:rPr>
              <w:br/>
              <w:t>Set disclosure, approval and ownership rules.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p>
      <w:pPr>
        <w:pStyle w:val="Heading1"/>
      </w:pPr>
      <w:r>
        <w:t>7. Deadlock, default and exit</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7.1  What decisions could deadlock and who should first attempt resolution?</w:t>
            </w:r>
            <w:r>
              <w:rPr>
                <w:rFonts w:ascii="Calibri" w:hAnsi="Calibri"/>
                <w:i/>
                <w:color w:val="6F696F"/>
                <w:sz w:val="17"/>
              </w:rPr>
              <w:br/>
              <w:t>Distinguish board, shareholder and operational disputes.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7.2  Escalation sequence and timeframes</w:t>
            </w:r>
            <w:r>
              <w:rPr>
                <w:rFonts w:ascii="Calibri" w:hAnsi="Calibri"/>
                <w:i/>
                <w:color w:val="6F696F"/>
                <w:sz w:val="17"/>
              </w:rPr>
              <w:br/>
              <w:t>Management / founders / chair / mediation / buy-sell / other.</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7.3  Which breaches should trigger cure, transfer, suspension or other remedies?</w:t>
            </w:r>
            <w:r>
              <w:rPr>
                <w:rFonts w:ascii="Calibri" w:hAnsi="Calibri"/>
                <w:i/>
                <w:color w:val="6F696F"/>
                <w:sz w:val="17"/>
              </w:rPr>
              <w:br/>
              <w:t>Consider materiality, cure periods and proportionality.</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7.4  Expected exit routes and time horizon</w:t>
            </w:r>
            <w:r>
              <w:rPr>
                <w:rFonts w:ascii="Calibri" w:hAnsi="Calibri"/>
                <w:i/>
                <w:color w:val="6F696F"/>
                <w:sz w:val="17"/>
              </w:rPr>
              <w:br/>
              <w:t>Trade sale, secondary sale, buy-back, listing, winding up or long-term ownership.</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7.5  Valuation method for compulsory or disputed transfers</w:t>
            </w:r>
            <w:r>
              <w:rPr>
                <w:rFonts w:ascii="Calibri" w:hAnsi="Calibri"/>
                <w:i/>
                <w:color w:val="6F696F"/>
                <w:sz w:val="17"/>
              </w:rPr>
              <w:br/>
              <w:t>Formula, fair value, valuer appointment, assumptions and costs.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p>
      <w:pPr>
        <w:pStyle w:val="Heading1"/>
      </w:pPr>
      <w:r>
        <w:t>8. Documentation and implementation</w:t>
      </w: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8.1  Existing documents that must be aligned</w:t>
            </w:r>
            <w:r>
              <w:rPr>
                <w:rFonts w:ascii="Calibri" w:hAnsi="Calibri"/>
                <w:i/>
                <w:color w:val="6F696F"/>
                <w:sz w:val="17"/>
              </w:rPr>
              <w:br/>
              <w:t>Articles, cap table, resolutions, employment terms, IP assignments, investment and loan documents.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8.2  Required corporate approvals and filings</w:t>
            </w:r>
            <w:r>
              <w:rPr>
                <w:rFonts w:ascii="Calibri" w:hAnsi="Calibri"/>
                <w:i/>
                <w:color w:val="6F696F"/>
                <w:sz w:val="17"/>
              </w:rPr>
              <w:br/>
              <w:t>Identify responsible parties and sequencing.</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8.3  Governing law, dispute forum and notice details</w:t>
            </w:r>
            <w:r>
              <w:rPr>
                <w:rFonts w:ascii="Calibri" w:hAnsi="Calibri"/>
                <w:i/>
                <w:color w:val="6F696F"/>
                <w:sz w:val="17"/>
              </w:rPr>
              <w:br/>
              <w:t>Record cross-border parties, assets and enforcement concerns.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r>
          </w:p>
        </w:tc>
      </w:tr>
    </w:tbl>
    <w:p>
      <w:pPr>
        <w:spacing w:after="20"/>
      </w:pPr>
    </w:p>
    <w:tbl>
      <w:tblPr>
        <w:tblW w:type="dxa" w:w="9360"/>
        <w:jc w:val="left"/>
        <w:tblLayout w:type="fixed"/>
        <w:tblLook w:firstColumn="1" w:firstRow="1" w:lastColumn="0" w:lastRow="0" w:noHBand="0" w:noVBand="1" w:val="04A0"/>
        <w:tblInd w:type="dxa" w:w="120"/>
      </w:tblPr>
      <w:tblGrid>
        <w:gridCol w:w="9360"/>
      </w:tblGrid>
      <w:tr>
        <w:trPr/>
        <w:tc>
          <w:tcPr>
            <w:tcW w:type="dxa" w:w="9360"/>
            <w:shd w:fill="F2EDF3"/>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r>
              <w:rPr>
                <w:rFonts w:ascii="Calibri" w:hAnsi="Calibri"/>
                <w:b/>
                <w:color w:val="2D073A"/>
                <w:sz w:val="20"/>
              </w:rPr>
              <w:t>8.4  Open issues, non-negotiables and deal deadlines</w:t>
            </w:r>
            <w:r>
              <w:rPr>
                <w:rFonts w:ascii="Calibri" w:hAnsi="Calibri"/>
                <w:i/>
                <w:color w:val="6F696F"/>
                <w:sz w:val="17"/>
              </w:rPr>
              <w:br/>
              <w:t>Separate genuine red lines from preferred positions.</w:t>
            </w:r>
          </w:p>
        </w:tc>
      </w:tr>
      <w:tr>
        <w:trPr/>
        <w:tc>
          <w:tcPr>
            <w:tcW w:type="dxa" w:w="93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20"/>
              </w:rPr>
              <w:br/>
              <w:br/>
              <w:br/>
              <w:br/>
            </w:r>
          </w:p>
        </w:tc>
      </w:tr>
    </w:tbl>
    <w:p>
      <w:pPr>
        <w:spacing w:after="20"/>
      </w:pPr>
    </w:p>
    <w:p>
      <w:pPr>
        <w:pStyle w:val="Heading1"/>
      </w:pPr>
      <w:r>
        <w:t>Priority points for the drafting meeting</w:t>
      </w:r>
    </w:p>
    <w:tbl>
      <w:tblPr>
        <w:tblW w:type="dxa" w:w="9360"/>
        <w:jc w:val="left"/>
        <w:tblLayout w:type="fixed"/>
        <w:tblLook w:firstColumn="1" w:firstRow="1" w:lastColumn="0" w:lastRow="0" w:noHBand="0" w:noVBand="1" w:val="04A0"/>
        <w:tblInd w:type="dxa" w:w="120"/>
      </w:tblPr>
      <w:tblGrid>
        <w:gridCol w:w="650"/>
        <w:gridCol w:w="2700"/>
        <w:gridCol w:w="3000"/>
        <w:gridCol w:w="301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Rank</w:t>
            </w:r>
          </w:p>
        </w:tc>
        <w:tc>
          <w:tcPr>
            <w:tcW w:type="dxa" w:w="2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Issue</w:t>
            </w:r>
          </w:p>
        </w:tc>
        <w:tc>
          <w:tcPr>
            <w:tcW w:type="dxa" w:w="30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Preferred position</w:t>
            </w:r>
          </w:p>
        </w:tc>
        <w:tc>
          <w:tcPr>
            <w:tcW w:type="dxa" w:w="301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Fallback / concern</w:t>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1</w:t>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2</w:t>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3</w:t>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4</w:t>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5</w:t>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6</w:t>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c>
          <w:tcPr>
            <w:tcW w:type="dxa" w:w="30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bl>
    <w:p>
      <w:pPr>
        <w:pStyle w:val="Heading1"/>
      </w:pPr>
      <w:r>
        <w:t>Primary sources</w:t>
      </w:r>
    </w:p>
    <w:p>
      <w:pPr>
        <w:spacing w:after="160"/>
      </w:pPr>
      <w:r>
        <w:t>Check the latest official text and regulator guidance before relying on this working aid.</w:t>
      </w:r>
    </w:p>
    <w:tbl>
      <w:tblPr>
        <w:tblW w:type="dxa" w:w="9360"/>
        <w:jc w:val="left"/>
        <w:tblLayout w:type="fixed"/>
        <w:tblLook w:firstColumn="1" w:firstRow="1" w:lastColumn="0" w:lastRow="0" w:noHBand="0" w:noVBand="1" w:val="04A0"/>
        <w:tblInd w:type="dxa" w:w="120"/>
      </w:tblPr>
      <w:tblGrid>
        <w:gridCol w:w="3300"/>
        <w:gridCol w:w="6060"/>
      </w:tblGrid>
      <w:tr>
        <w:trPr>
          <w:tblHeader w:val="true"/>
        </w:trPr>
        <w:tc>
          <w:tcPr>
            <w:tcW w:type="dxa" w:w="330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Source</w:t>
            </w:r>
          </w:p>
        </w:tc>
        <w:tc>
          <w:tcPr>
            <w:tcW w:type="dxa" w:w="606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Official link</w:t>
            </w:r>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Companies Act, Cap. 486</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2">
              <w:r>
                <w:rPr>
                  <w:rFonts w:ascii="Calibri" w:hAnsi="Calibri"/>
                  <w:color w:val="7A4E16"/>
                  <w:u w:val="single"/>
                </w:rPr>
                <w:t>https://new.kenyalaw.org/akn/ke/act/2015/17</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Business Registration Service — Companies legislation</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3">
              <w:r>
                <w:rPr>
                  <w:rFonts w:ascii="Calibri" w:hAnsi="Calibri"/>
                  <w:color w:val="7A4E16"/>
                  <w:u w:val="single"/>
                </w:rPr>
                <w:t>https://brs.go.ke/acts/</w:t>
              </w:r>
            </w:hyperlink>
          </w:p>
        </w:tc>
      </w:tr>
    </w:tbl>
    <w:p>
      <w:pPr>
        <w:pStyle w:val="Heading1"/>
      </w:pPr>
      <w:r>
        <w:t>Permitted use and important notice</w:t>
      </w:r>
    </w:p>
    <w:p>
      <w:pPr>
        <w:spacing w:after="60" w:line="259" w:lineRule="auto"/>
      </w:pPr>
      <w:r>
        <w:rPr>
          <w:rFonts w:ascii="Calibri" w:hAnsi="Calibri"/>
          <w:b/>
          <w:color w:val="2D073A"/>
          <w:sz w:val="18"/>
        </w:rPr>
        <w:t xml:space="preserve">Internal use. </w:t>
      </w:r>
      <w:r>
        <w:rPr>
          <w:rFonts w:ascii="Calibri" w:hAnsi="Calibri"/>
          <w:color w:val="251F28"/>
          <w:sz w:val="18"/>
        </w:rPr>
        <w:t>The original downloader may use and adapt this resource internally for one business or organisation.</w:t>
      </w:r>
    </w:p>
    <w:p>
      <w:pPr>
        <w:spacing w:after="60" w:line="259" w:lineRule="auto"/>
      </w:pPr>
      <w:r>
        <w:rPr>
          <w:rFonts w:ascii="Calibri" w:hAnsi="Calibri"/>
          <w:b/>
          <w:color w:val="2D073A"/>
          <w:sz w:val="18"/>
        </w:rPr>
        <w:t xml:space="preserve">No resale or redistribution. </w:t>
      </w:r>
      <w:r>
        <w:rPr>
          <w:rFonts w:ascii="Calibri" w:hAnsi="Calibri"/>
          <w:color w:val="251F28"/>
          <w:sz w:val="18"/>
        </w:rPr>
        <w:t>It may not be sold, republished, distributed as a competing product or presented as legal advice from the firm.</w:t>
      </w:r>
    </w:p>
    <w:p>
      <w:pPr>
        <w:spacing w:after="60" w:line="259" w:lineRule="auto"/>
      </w:pPr>
      <w:r>
        <w:rPr>
          <w:rFonts w:ascii="Calibri" w:hAnsi="Calibri"/>
          <w:b/>
          <w:color w:val="2D073A"/>
          <w:sz w:val="18"/>
        </w:rPr>
        <w:t xml:space="preserve">No retainer by download. </w:t>
      </w:r>
      <w:r>
        <w:rPr>
          <w:rFonts w:ascii="Calibri" w:hAnsi="Calibri"/>
          <w:color w:val="251F28"/>
          <w:sz w:val="18"/>
        </w:rPr>
        <w:t>Downloading or completing it does not create an advocate-client relationship. No duty to update it is assumed.</w:t>
      </w:r>
    </w:p>
    <w:p>
      <w:pPr>
        <w:spacing w:after="60" w:line="259" w:lineRule="auto"/>
      </w:pPr>
      <w:r>
        <w:rPr>
          <w:rFonts w:ascii="Calibri" w:hAnsi="Calibri"/>
          <w:b/>
          <w:color w:val="2D073A"/>
          <w:sz w:val="18"/>
        </w:rPr>
        <w:t xml:space="preserve">General aid only. </w:t>
      </w:r>
      <w:r>
        <w:rPr>
          <w:rFonts w:ascii="Calibri" w:hAnsi="Calibri"/>
          <w:color w:val="251F28"/>
          <w:sz w:val="18"/>
        </w:rPr>
        <w:t>It is not a substitute for advice based on the complete facts, sector, regulator, transaction and current law.</w:t>
      </w:r>
    </w:p>
    <w:p>
      <w:pPr>
        <w:spacing w:after="60" w:line="259" w:lineRule="auto"/>
      </w:pPr>
      <w:r>
        <w:rPr>
          <w:rFonts w:ascii="Calibri" w:hAnsi="Calibri"/>
          <w:b/>
          <w:color w:val="2D073A"/>
          <w:sz w:val="18"/>
        </w:rPr>
        <w:t xml:space="preserve">Tailored work. </w:t>
      </w:r>
      <w:r>
        <w:rPr>
          <w:rFonts w:ascii="Calibri" w:hAnsi="Calibri"/>
          <w:color w:val="251F28"/>
          <w:sz w:val="18"/>
        </w:rPr>
        <w:t>Request a scope and fee before sharing substantive or confidential information for review.</w:t>
      </w:r>
    </w:p>
    <w:p>
      <w:pPr>
        <w:spacing w:before="100" w:after="0"/>
      </w:pPr>
      <w:r>
        <w:rPr>
          <w:rFonts w:ascii="Calibri" w:hAnsi="Calibri"/>
          <w:b/>
          <w:color w:val="6F696F"/>
          <w:sz w:val="18"/>
        </w:rPr>
        <w:t xml:space="preserve">© 2026 S.N. Nyaga &amp; Company Advocates. </w:t>
      </w:r>
      <w:hyperlink r:id="rId14">
        <w:r>
          <w:rPr>
            <w:rFonts w:ascii="Calibri" w:hAnsi="Calibri"/>
            <w:color w:val="7A4E16"/>
            <w:u w:val="single"/>
          </w:rPr>
          <w:t>Open the Business Document Studio</w:t>
        </w:r>
      </w:hyperlink>
    </w:p>
    <w:sectPr w:rsidR="00FC693F" w:rsidRPr="0006063C" w:rsidSect="00034616">
      <w:headerReference w:type="default" r:id="rId9"/>
      <w:footerReference w:type="default" r:id="rId10"/>
      <w:pgSz w:w="12240" w:h="15840"/>
      <w:pgMar w:top="1181"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6760"/>
      <w:gridCol w:w="2600"/>
    </w:tblGrid>
    <w:tr>
      <w:trPr/>
      <w:tc>
        <w:tcPr>
          <w:tcW w:type="dxa" w:w="676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r>
            <w:rPr>
              <w:rFonts w:ascii="Calibri" w:hAnsi="Calibri"/>
              <w:color w:val="6F696F"/>
              <w:sz w:val="16"/>
            </w:rPr>
            <w:t>snnyagaadvocates.co.ke  |  General working aid</w:t>
          </w:r>
        </w:p>
      </w:tc>
      <w:tc>
        <w:tcPr>
          <w:tcW w:type="dxa" w:w="260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pPr>
            <w:jc w:val="right"/>
          </w:pPr>
          <w:r>
            <w:rPr>
              <w:rFonts w:ascii="Calibri" w:hAnsi="Calibri"/>
              <w:color w:val="6F696F"/>
              <w:sz w:val="16"/>
            </w:rPr>
            <w:t>Reviewed 31 July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6F696F"/>
        <w:sz w:val="16"/>
      </w:rPr>
      <w:t>S.N. Nyaga &amp; Company Advocates  |  Business Document Studio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1F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52" w:lineRule="auto"/>
      <w:outlineLvl w:val="0"/>
    </w:pPr>
    <w:rPr>
      <w:rFonts w:asciiTheme="majorHAnsi" w:eastAsiaTheme="majorEastAsia" w:hAnsiTheme="majorHAnsi" w:cstheme="majorBidi" w:ascii="Calibri" w:hAnsi="Calibri"/>
      <w:b/>
      <w:bCs/>
      <w:color w:val="2D073A"/>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2" w:lineRule="auto"/>
      <w:outlineLvl w:val="1"/>
    </w:pPr>
    <w:rPr>
      <w:rFonts w:asciiTheme="majorHAnsi" w:eastAsiaTheme="majorEastAsia" w:hAnsiTheme="majorHAnsi" w:cstheme="majorBidi" w:ascii="Calibri" w:hAnsi="Calibri"/>
      <w:b/>
      <w:bCs/>
      <w:color w:val="2D073A"/>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Calibri" w:hAnsi="Calibri"/>
      <w:b/>
      <w:bCs/>
      <w:color w:val="4011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40" w:line="252" w:lineRule="auto" w:before="0"/>
      <w:contextualSpacing/>
    </w:pPr>
    <w:rPr>
      <w:rFonts w:asciiTheme="majorHAnsi" w:eastAsiaTheme="majorEastAsia" w:hAnsiTheme="majorHAnsi" w:cstheme="majorBidi" w:ascii="Calibri" w:hAnsi="Calibri"/>
      <w:b/>
      <w:color w:val="2D07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52" w:lineRule="auto"/>
    </w:pPr>
    <w:rPr>
      <w:rFonts w:asciiTheme="majorHAnsi" w:eastAsiaTheme="majorEastAsia" w:hAnsiTheme="majorHAnsi" w:cstheme="majorBidi" w:ascii="Calibri" w:hAnsi="Calibri"/>
      <w:b w:val="0"/>
      <w:i/>
      <w:iCs/>
      <w:color w:val="6F696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new.kenyalaw.org/akn/ke/act/2015/17" TargetMode="External"/><Relationship Id="rId13" Type="http://schemas.openxmlformats.org/officeDocument/2006/relationships/hyperlink" Target="https://brs.go.ke/acts/" TargetMode="External"/><Relationship Id="rId14" Type="http://schemas.openxmlformats.org/officeDocument/2006/relationships/hyperlink" Target="https://snnyagaadvocates.co.ke/document-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Nyaga Shareholders Agreement Terms Questionnaire</dc:title>
  <dc:subject>S.N. Nyaga &amp; Company Advocates Business Document Studio</dc:subject>
  <dc:creator>S.N. Nyaga &amp; Company Advocates</dc:creator>
  <cp:keywords>Kenya, legal toolkit, business documents, compliance</cp:keywords>
  <dc:description>generated by python-docx</dc:description>
  <cp:lastModifiedBy/>
  <cp:revision>1</cp:revision>
  <dcterms:created xsi:type="dcterms:W3CDTF">2013-12-23T23:15:00Z</dcterms:created>
  <dcterms:modified xsi:type="dcterms:W3CDTF">2013-12-23T23:15:00Z</dcterms:modified>
  <cp:category/>
</cp:coreProperties>
</file>